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4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324"/>
        <w:gridCol w:w="2665"/>
        <w:gridCol w:w="3264"/>
      </w:tblGrid>
      <w:tr>
        <w:trPr>
          <w:trHeight w:val="217" w:hRule="atLeast"/>
        </w:trPr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rPr>
                <w:sz w:val="16"/>
              </w:rPr>
            </w:pPr>
            <w:r>
              <w:rPr>
                <w:w w:val="105"/>
                <w:sz w:val="16"/>
              </w:rPr>
              <w:t>Miss.MEGHA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 No</w:t>
            </w:r>
          </w:p>
        </w:tc>
        <w:tc>
          <w:tcPr>
            <w:tcW w:w="32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rPr>
                <w:sz w:val="16"/>
              </w:rPr>
            </w:pPr>
            <w:r>
              <w:rPr>
                <w:w w:val="105"/>
                <w:sz w:val="16"/>
              </w:rPr>
              <w:t>011610260002</w:t>
            </w:r>
          </w:p>
        </w:tc>
      </w:tr>
      <w:tr>
        <w:trPr>
          <w:trHeight w:val="200" w:hRule="atLeast"/>
        </w:trPr>
        <w:tc>
          <w:tcPr>
            <w:tcW w:w="1219" w:type="dxa"/>
          </w:tcPr>
          <w:p>
            <w:pPr>
              <w:pStyle w:val="TableParagraph"/>
              <w:spacing w:line="172" w:lineRule="exact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Age/Sex</w:t>
            </w:r>
          </w:p>
        </w:tc>
        <w:tc>
          <w:tcPr>
            <w:tcW w:w="2324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105"/>
                <w:sz w:val="16"/>
              </w:rPr>
              <w:t>30 YRS/FEMALE</w:t>
            </w:r>
          </w:p>
        </w:tc>
        <w:tc>
          <w:tcPr>
            <w:tcW w:w="2665" w:type="dxa"/>
          </w:tcPr>
          <w:p>
            <w:pPr>
              <w:pStyle w:val="TableParagraph"/>
              <w:spacing w:line="172" w:lineRule="exact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</w:p>
        </w:tc>
        <w:tc>
          <w:tcPr>
            <w:tcW w:w="3264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105"/>
                <w:sz w:val="16"/>
              </w:rPr>
              <w:t>26/Oct/2016 07:22AM</w:t>
            </w:r>
          </w:p>
        </w:tc>
      </w:tr>
      <w:tr>
        <w:trPr>
          <w:trHeight w:val="207" w:hRule="atLeast"/>
        </w:trPr>
        <w:tc>
          <w:tcPr>
            <w:tcW w:w="1219" w:type="dxa"/>
          </w:tcPr>
          <w:p>
            <w:pPr>
              <w:pStyle w:val="TableParagraph"/>
              <w:spacing w:line="176" w:lineRule="exact" w:before="11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UID No</w:t>
            </w:r>
          </w:p>
        </w:tc>
        <w:tc>
          <w:tcPr>
            <w:tcW w:w="2324" w:type="dxa"/>
          </w:tcPr>
          <w:p>
            <w:pPr>
              <w:pStyle w:val="TableParagraph"/>
              <w:spacing w:line="183" w:lineRule="exact" w:before="4"/>
              <w:rPr>
                <w:sz w:val="16"/>
              </w:rPr>
            </w:pPr>
            <w:r>
              <w:rPr>
                <w:w w:val="105"/>
                <w:sz w:val="16"/>
              </w:rPr>
              <w:t>154343</w:t>
            </w:r>
          </w:p>
        </w:tc>
        <w:tc>
          <w:tcPr>
            <w:tcW w:w="2665" w:type="dxa"/>
          </w:tcPr>
          <w:p>
            <w:pPr>
              <w:pStyle w:val="TableParagraph"/>
              <w:spacing w:line="183" w:lineRule="exact" w:before="4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Sample Collection</w:t>
            </w:r>
          </w:p>
        </w:tc>
        <w:tc>
          <w:tcPr>
            <w:tcW w:w="3264" w:type="dxa"/>
          </w:tcPr>
          <w:p>
            <w:pPr>
              <w:pStyle w:val="TableParagraph"/>
              <w:spacing w:line="183" w:lineRule="exact" w:before="4"/>
              <w:rPr>
                <w:sz w:val="16"/>
              </w:rPr>
            </w:pPr>
            <w:r>
              <w:rPr>
                <w:w w:val="105"/>
                <w:sz w:val="16"/>
              </w:rPr>
              <w:t>26/Oct/2016 07:25AM</w:t>
            </w:r>
          </w:p>
        </w:tc>
      </w:tr>
      <w:tr>
        <w:trPr>
          <w:trHeight w:val="250" w:hRule="atLeast"/>
        </w:trPr>
        <w:tc>
          <w:tcPr>
            <w:tcW w:w="12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BarcodeNo</w:t>
            </w:r>
          </w:p>
        </w:tc>
        <w:tc>
          <w:tcPr>
            <w:tcW w:w="23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10070977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Reported On</w:t>
            </w:r>
          </w:p>
        </w:tc>
        <w:tc>
          <w:tcPr>
            <w:tcW w:w="32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26/Oct/2016 01:10PM</w:t>
            </w:r>
          </w:p>
        </w:tc>
      </w:tr>
    </w:tbl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Heading2"/>
        <w:spacing w:before="102"/>
      </w:pPr>
      <w:r>
        <w:rPr/>
        <w:t>IMMUNOLOGY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330"/>
        <w:gridCol w:w="1118"/>
        <w:gridCol w:w="1720"/>
        <w:gridCol w:w="1174"/>
      </w:tblGrid>
      <w:tr>
        <w:trPr>
          <w:trHeight w:val="308" w:hRule="atLeast"/>
        </w:trPr>
        <w:tc>
          <w:tcPr>
            <w:tcW w:w="2774" w:type="dxa"/>
          </w:tcPr>
          <w:p>
            <w:pPr>
              <w:pStyle w:val="TableParagraph"/>
              <w:spacing w:line="169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Test Name</w:t>
            </w:r>
          </w:p>
        </w:tc>
        <w:tc>
          <w:tcPr>
            <w:tcW w:w="1330" w:type="dxa"/>
          </w:tcPr>
          <w:p>
            <w:pPr>
              <w:pStyle w:val="TableParagraph"/>
              <w:spacing w:line="169" w:lineRule="exact" w:before="0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Result</w:t>
            </w:r>
          </w:p>
        </w:tc>
        <w:tc>
          <w:tcPr>
            <w:tcW w:w="1118" w:type="dxa"/>
          </w:tcPr>
          <w:p>
            <w:pPr>
              <w:pStyle w:val="TableParagraph"/>
              <w:spacing w:line="169" w:lineRule="exact" w:before="0"/>
              <w:ind w:left="345"/>
              <w:rPr>
                <w:b/>
                <w:sz w:val="14"/>
              </w:rPr>
            </w:pPr>
            <w:r>
              <w:rPr>
                <w:b/>
                <w:sz w:val="14"/>
              </w:rPr>
              <w:t>Unit</w:t>
            </w:r>
          </w:p>
        </w:tc>
        <w:tc>
          <w:tcPr>
            <w:tcW w:w="1720" w:type="dxa"/>
          </w:tcPr>
          <w:p>
            <w:pPr>
              <w:pStyle w:val="TableParagraph"/>
              <w:spacing w:line="169" w:lineRule="exact" w:before="0"/>
              <w:ind w:left="235"/>
              <w:rPr>
                <w:b/>
                <w:sz w:val="14"/>
              </w:rPr>
            </w:pPr>
            <w:r>
              <w:rPr>
                <w:b/>
                <w:sz w:val="14"/>
              </w:rPr>
              <w:t>Ref.Interval</w:t>
            </w:r>
          </w:p>
        </w:tc>
        <w:tc>
          <w:tcPr>
            <w:tcW w:w="1174" w:type="dxa"/>
          </w:tcPr>
          <w:p>
            <w:pPr>
              <w:pStyle w:val="TableParagraph"/>
              <w:spacing w:line="169" w:lineRule="exact" w:before="0"/>
              <w:ind w:left="543"/>
              <w:rPr>
                <w:b/>
                <w:sz w:val="14"/>
              </w:rPr>
            </w:pPr>
            <w:r>
              <w:rPr>
                <w:b/>
                <w:sz w:val="14"/>
              </w:rPr>
              <w:t>Method</w:t>
            </w:r>
          </w:p>
        </w:tc>
      </w:tr>
      <w:tr>
        <w:trPr>
          <w:trHeight w:val="501" w:hRule="atLeast"/>
        </w:trPr>
        <w:tc>
          <w:tcPr>
            <w:tcW w:w="2774" w:type="dxa"/>
          </w:tcPr>
          <w:p>
            <w:pPr>
              <w:pStyle w:val="TableParagraph"/>
              <w:spacing w:line="237" w:lineRule="auto" w:before="14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EXECUTIVE HEATH PACKAGE THYROID PROFILE,SERUM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2774" w:type="dxa"/>
          </w:tcPr>
          <w:p>
            <w:pPr>
              <w:pStyle w:val="TableParagraph"/>
              <w:spacing w:before="28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T3 ,Serum</w:t>
            </w:r>
          </w:p>
        </w:tc>
        <w:tc>
          <w:tcPr>
            <w:tcW w:w="1330" w:type="dxa"/>
          </w:tcPr>
          <w:p>
            <w:pPr>
              <w:pStyle w:val="TableParagraph"/>
              <w:spacing w:before="24"/>
              <w:ind w:left="489"/>
              <w:rPr>
                <w:sz w:val="14"/>
              </w:rPr>
            </w:pPr>
            <w:r>
              <w:rPr>
                <w:sz w:val="14"/>
              </w:rPr>
              <w:t>1.78</w:t>
            </w:r>
          </w:p>
        </w:tc>
        <w:tc>
          <w:tcPr>
            <w:tcW w:w="1118" w:type="dxa"/>
          </w:tcPr>
          <w:p>
            <w:pPr>
              <w:pStyle w:val="TableParagraph"/>
              <w:spacing w:before="24"/>
              <w:ind w:left="345"/>
              <w:rPr>
                <w:sz w:val="14"/>
              </w:rPr>
            </w:pPr>
            <w:r>
              <w:rPr>
                <w:sz w:val="14"/>
              </w:rPr>
              <w:t>nmol/ L</w:t>
            </w:r>
          </w:p>
        </w:tc>
        <w:tc>
          <w:tcPr>
            <w:tcW w:w="1720" w:type="dxa"/>
          </w:tcPr>
          <w:p>
            <w:pPr>
              <w:pStyle w:val="TableParagraph"/>
              <w:spacing w:before="24"/>
              <w:ind w:left="235"/>
              <w:rPr>
                <w:sz w:val="14"/>
              </w:rPr>
            </w:pPr>
            <w:r>
              <w:rPr>
                <w:sz w:val="14"/>
              </w:rPr>
              <w:t>1.49-2.60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4"/>
              <w:ind w:left="543"/>
              <w:rPr>
                <w:sz w:val="14"/>
              </w:rPr>
            </w:pPr>
            <w:r>
              <w:rPr>
                <w:sz w:val="14"/>
              </w:rPr>
              <w:t>ECLIA</w:t>
            </w:r>
          </w:p>
        </w:tc>
      </w:tr>
      <w:tr>
        <w:trPr>
          <w:trHeight w:val="230" w:hRule="atLeast"/>
        </w:trPr>
        <w:tc>
          <w:tcPr>
            <w:tcW w:w="2774" w:type="dxa"/>
          </w:tcPr>
          <w:p>
            <w:pPr>
              <w:pStyle w:val="TableParagraph"/>
              <w:spacing w:line="166" w:lineRule="exact" w:before="44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Comment :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line="290" w:lineRule="auto" w:before="66"/>
        <w:ind w:left="159" w:right="2521" w:firstLine="0"/>
        <w:jc w:val="both"/>
        <w:rPr>
          <w:rFonts w:ascii="Arial"/>
          <w:sz w:val="16"/>
        </w:rPr>
      </w:pPr>
      <w:r>
        <w:rPr>
          <w:rFonts w:ascii="Arial"/>
          <w:w w:val="105"/>
          <w:sz w:val="16"/>
        </w:rPr>
        <w:t>T3 is physiologically more active than T4 &amp; plays an important role in maintaining euthyroidism. T3 circulates in free form ( 0.3 %) and in bound form (99.7%).</w:t>
      </w:r>
    </w:p>
    <w:p>
      <w:pPr>
        <w:tabs>
          <w:tab w:pos="3372" w:val="left" w:leader="none"/>
          <w:tab w:pos="4558" w:val="left" w:leader="none"/>
          <w:tab w:pos="5566" w:val="left" w:leader="none"/>
          <w:tab w:pos="7594" w:val="left" w:leader="none"/>
        </w:tabs>
        <w:spacing w:before="22"/>
        <w:ind w:left="173" w:right="0" w:firstLine="0"/>
        <w:jc w:val="both"/>
        <w:rPr>
          <w:sz w:val="14"/>
        </w:rPr>
      </w:pPr>
      <w:r>
        <w:rPr>
          <w:b/>
          <w:sz w:val="15"/>
        </w:rPr>
        <w:t>T4 ,Serum</w:t>
      </w:r>
      <w:r>
        <w:rPr>
          <w:rFonts w:ascii="Times New Roman"/>
          <w:sz w:val="15"/>
        </w:rPr>
        <w:tab/>
      </w:r>
      <w:r>
        <w:rPr>
          <w:position w:val="1"/>
          <w:sz w:val="14"/>
        </w:rPr>
        <w:t>80.80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nmol/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L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71.2-141.0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ECLIA</w:t>
      </w:r>
    </w:p>
    <w:p>
      <w:pPr>
        <w:spacing w:before="87"/>
        <w:ind w:left="159" w:right="0" w:firstLine="0"/>
        <w:jc w:val="both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Comment :</w:t>
      </w:r>
    </w:p>
    <w:p>
      <w:pPr>
        <w:pStyle w:val="Heading1"/>
        <w:spacing w:line="328" w:lineRule="auto" w:before="68"/>
      </w:pPr>
      <w:r>
        <w:rPr>
          <w:w w:val="105"/>
        </w:rPr>
        <w:t>T4 is predominantly bound to carrier protein - thyroid binding globulin ( TBG-99.9 %). T4 assay aids in diagnosis hyperthyroidism - primary or secondary hypothyroidism &amp; thyroid hormone resistances.T4 titre must also be associated with other titre of the thyroid assessment, such as TSH &amp; T3 as well as with the clinical examination ot the patient .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3"/>
        <w:rPr>
          <w:rFonts w:ascii="Arial"/>
          <w:sz w:val="24"/>
        </w:rPr>
      </w:pPr>
    </w:p>
    <w:p>
      <w:pPr>
        <w:tabs>
          <w:tab w:pos="3372" w:val="left" w:leader="none"/>
          <w:tab w:pos="4558" w:val="left" w:leader="none"/>
          <w:tab w:pos="5566" w:val="left" w:leader="none"/>
          <w:tab w:pos="7594" w:val="left" w:leader="none"/>
        </w:tabs>
        <w:spacing w:before="1"/>
        <w:ind w:left="173" w:right="0" w:firstLine="0"/>
        <w:jc w:val="both"/>
        <w:rPr>
          <w:sz w:val="14"/>
        </w:rPr>
      </w:pPr>
      <w:r>
        <w:rPr>
          <w:b/>
          <w:sz w:val="15"/>
        </w:rPr>
        <w:t>TSH, Serum</w:t>
      </w:r>
      <w:r>
        <w:rPr>
          <w:rFonts w:ascii="Times New Roman"/>
          <w:sz w:val="15"/>
        </w:rPr>
        <w:tab/>
      </w:r>
      <w:r>
        <w:rPr>
          <w:b/>
          <w:position w:val="1"/>
          <w:sz w:val="14"/>
        </w:rPr>
        <w:t>5.59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uIU/</w:t>
      </w:r>
      <w:r>
        <w:rPr>
          <w:spacing w:val="-4"/>
          <w:position w:val="1"/>
          <w:sz w:val="14"/>
        </w:rPr>
        <w:t> </w:t>
      </w:r>
      <w:r>
        <w:rPr>
          <w:position w:val="1"/>
          <w:sz w:val="14"/>
        </w:rPr>
        <w:t>mL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0.46-4.68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ECLIA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71"/>
        <w:rPr>
          <w:rFonts w:ascii="Calibri"/>
        </w:rPr>
      </w:pPr>
      <w:r>
        <w:rPr>
          <w:rFonts w:ascii="Calibri"/>
        </w:rPr>
        <w:t>INTERPRETATION :</w:t>
      </w:r>
    </w:p>
    <w:p>
      <w:pPr>
        <w:pStyle w:val="BodyText"/>
        <w:spacing w:before="1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0" w:lineRule="auto" w:before="0" w:after="0"/>
        <w:ind w:left="672" w:right="1419" w:hanging="137"/>
        <w:jc w:val="left"/>
        <w:rPr>
          <w:sz w:val="15"/>
        </w:rPr>
      </w:pPr>
      <w:r>
        <w:rPr>
          <w:sz w:val="15"/>
        </w:rPr>
        <w:t>TSH levels are subject to circadian variation,reaching peak levels between 2 - 4.a.m.and at a minimum between 6 to 10 p.m. The variation is of the order of 50%,hence time of the day has influence on the measured serum TSH concentrations.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3" w:after="0"/>
        <w:ind w:left="618" w:right="0" w:hanging="117"/>
        <w:jc w:val="left"/>
        <w:rPr>
          <w:sz w:val="15"/>
        </w:rPr>
      </w:pPr>
      <w:r>
        <w:rPr>
          <w:sz w:val="15"/>
        </w:rPr>
        <w:t>Significant number of patients particularly those above 55 years of age have a serum TSH level between 4.68 &amp; 10</w:t>
      </w:r>
      <w:r>
        <w:rPr>
          <w:spacing w:val="-2"/>
          <w:sz w:val="15"/>
        </w:rPr>
        <w:t> </w:t>
      </w:r>
      <w:r>
        <w:rPr>
          <w:sz w:val="15"/>
        </w:rPr>
        <w:t>µIU/ml.</w:t>
      </w:r>
    </w:p>
    <w:p>
      <w:pPr>
        <w:pStyle w:val="BodyText"/>
        <w:spacing w:before="2"/>
        <w:ind w:left="672" w:right="2536"/>
        <w:rPr>
          <w:rFonts w:ascii="Calibri"/>
        </w:rPr>
      </w:pPr>
      <w:r>
        <w:rPr>
          <w:rFonts w:ascii="Calibri"/>
        </w:rPr>
        <w:t>This borderline elevation may be due to presence of SUBCLINICAL HYPOTHYOIDISM. Thyroid profile and anti -thyroid (anti TPO &amp; TG) antibodies estimation is suggested in all such cases.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3" w:after="0"/>
        <w:ind w:left="639" w:right="2322" w:hanging="171"/>
        <w:jc w:val="left"/>
        <w:rPr>
          <w:sz w:val="15"/>
        </w:rPr>
      </w:pPr>
      <w:r>
        <w:rPr>
          <w:sz w:val="15"/>
        </w:rPr>
        <w:t>Very low serum TSH values are observed in patients who are being treated for hypothyroidism. In such patients Serum Free T4 estimation may also be</w:t>
      </w:r>
      <w:r>
        <w:rPr>
          <w:spacing w:val="2"/>
          <w:sz w:val="15"/>
        </w:rPr>
        <w:t> </w:t>
      </w:r>
      <w:r>
        <w:rPr>
          <w:sz w:val="15"/>
        </w:rPr>
        <w:t>performed.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  <w:tab w:pos="3622" w:val="left" w:leader="none"/>
        </w:tabs>
        <w:spacing w:line="240" w:lineRule="auto" w:before="4" w:after="0"/>
        <w:ind w:left="1385" w:right="4395" w:hanging="917"/>
        <w:jc w:val="left"/>
        <w:rPr>
          <w:sz w:val="15"/>
        </w:rPr>
      </w:pPr>
      <w:r>
        <w:rPr>
          <w:sz w:val="15"/>
        </w:rPr>
        <w:t>In pregnancy as per American thyroid association reference range in µIU/ML. 1 st</w:t>
      </w:r>
      <w:r>
        <w:rPr>
          <w:spacing w:val="-1"/>
          <w:sz w:val="15"/>
        </w:rPr>
        <w:t> </w:t>
      </w:r>
      <w:r>
        <w:rPr>
          <w:sz w:val="15"/>
        </w:rPr>
        <w:t>Trimester</w:t>
        <w:tab/>
        <w:t>0.10 -</w:t>
      </w:r>
      <w:r>
        <w:rPr>
          <w:spacing w:val="-2"/>
          <w:sz w:val="15"/>
        </w:rPr>
        <w:t> </w:t>
      </w:r>
      <w:r>
        <w:rPr>
          <w:sz w:val="15"/>
        </w:rPr>
        <w:t>2.50</w:t>
      </w:r>
    </w:p>
    <w:p>
      <w:pPr>
        <w:pStyle w:val="ListParagraph"/>
        <w:numPr>
          <w:ilvl w:val="1"/>
          <w:numId w:val="1"/>
        </w:numPr>
        <w:tabs>
          <w:tab w:pos="1497" w:val="left" w:leader="none"/>
          <w:tab w:pos="3622" w:val="left" w:leader="none"/>
        </w:tabs>
        <w:spacing w:line="183" w:lineRule="exact" w:before="3" w:after="0"/>
        <w:ind w:left="1496" w:right="0" w:hanging="112"/>
        <w:jc w:val="left"/>
        <w:rPr>
          <w:sz w:val="15"/>
        </w:rPr>
      </w:pPr>
      <w:r>
        <w:rPr>
          <w:sz w:val="15"/>
        </w:rPr>
        <w:t>st</w:t>
      </w:r>
      <w:r>
        <w:rPr>
          <w:spacing w:val="-1"/>
          <w:sz w:val="15"/>
        </w:rPr>
        <w:t> </w:t>
      </w:r>
      <w:r>
        <w:rPr>
          <w:sz w:val="15"/>
        </w:rPr>
        <w:t>Trimester</w:t>
        <w:tab/>
        <w:t>0.20 -</w:t>
      </w:r>
      <w:r>
        <w:rPr>
          <w:spacing w:val="-2"/>
          <w:sz w:val="15"/>
        </w:rPr>
        <w:t> </w:t>
      </w:r>
      <w:r>
        <w:rPr>
          <w:sz w:val="15"/>
        </w:rPr>
        <w:t>3.0</w:t>
      </w:r>
    </w:p>
    <w:p>
      <w:pPr>
        <w:pStyle w:val="ListParagraph"/>
        <w:numPr>
          <w:ilvl w:val="1"/>
          <w:numId w:val="1"/>
        </w:numPr>
        <w:tabs>
          <w:tab w:pos="1496" w:val="left" w:leader="none"/>
          <w:tab w:pos="3622" w:val="left" w:leader="none"/>
        </w:tabs>
        <w:spacing w:line="183" w:lineRule="exact" w:before="0" w:after="0"/>
        <w:ind w:left="1496" w:right="0" w:hanging="111"/>
        <w:jc w:val="left"/>
        <w:rPr>
          <w:sz w:val="15"/>
        </w:rPr>
      </w:pPr>
      <w:r>
        <w:rPr>
          <w:sz w:val="15"/>
        </w:rPr>
        <w:t>st</w:t>
      </w:r>
      <w:r>
        <w:rPr>
          <w:spacing w:val="-1"/>
          <w:sz w:val="15"/>
        </w:rPr>
        <w:t> </w:t>
      </w:r>
      <w:r>
        <w:rPr>
          <w:sz w:val="15"/>
        </w:rPr>
        <w:t>Trimester</w:t>
        <w:tab/>
        <w:t>0.30 -</w:t>
      </w:r>
      <w:r>
        <w:rPr>
          <w:spacing w:val="-2"/>
          <w:sz w:val="15"/>
        </w:rPr>
        <w:t> </w:t>
      </w:r>
      <w:r>
        <w:rPr>
          <w:sz w:val="15"/>
        </w:rPr>
        <w:t>3.0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187" w:after="0"/>
        <w:ind w:left="581" w:right="0" w:hanging="150"/>
        <w:jc w:val="left"/>
        <w:rPr>
          <w:sz w:val="15"/>
        </w:rPr>
      </w:pPr>
      <w:r>
        <w:rPr>
          <w:sz w:val="15"/>
        </w:rPr>
        <w:t>All reports must be interpreted by treating physician</w:t>
      </w:r>
      <w:r>
        <w:rPr>
          <w:spacing w:val="-4"/>
          <w:sz w:val="15"/>
        </w:rPr>
        <w:t> </w:t>
      </w:r>
      <w:r>
        <w:rPr>
          <w:sz w:val="15"/>
        </w:rPr>
        <w:t>only.</w:t>
      </w:r>
    </w:p>
    <w:p>
      <w:pPr>
        <w:spacing w:after="0" w:line="240" w:lineRule="auto"/>
        <w:jc w:val="left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0" w:footer="71" w:top="2700" w:bottom="260" w:left="1120" w:right="1040"/>
          <w:pgNumType w:start="1"/>
        </w:sect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1"/>
        <w:ind w:left="159" w:right="0" w:firstLine="0"/>
        <w:jc w:val="left"/>
        <w:rPr>
          <w:b/>
          <w:sz w:val="14"/>
        </w:rPr>
      </w:pPr>
      <w:r>
        <w:rPr>
          <w:b/>
          <w:sz w:val="14"/>
        </w:rPr>
        <w:t>HIV (AIDS) ANTIBODY I &amp; II, Serum</w:t>
      </w:r>
    </w:p>
    <w:p>
      <w:pPr>
        <w:tabs>
          <w:tab w:pos="3372" w:val="left" w:leader="none"/>
          <w:tab w:pos="4558" w:val="left" w:leader="none"/>
          <w:tab w:pos="5566" w:val="left" w:leader="none"/>
        </w:tabs>
        <w:spacing w:line="174" w:lineRule="exact" w:before="50"/>
        <w:ind w:left="173" w:right="0" w:firstLine="0"/>
        <w:jc w:val="left"/>
        <w:rPr>
          <w:sz w:val="14"/>
        </w:rPr>
      </w:pPr>
      <w:r>
        <w:rPr>
          <w:sz w:val="15"/>
        </w:rPr>
        <w:t>HIV (AIDS ANTIBODY) I &amp;</w:t>
      </w:r>
      <w:r>
        <w:rPr>
          <w:spacing w:val="5"/>
          <w:sz w:val="15"/>
        </w:rPr>
        <w:t> </w:t>
      </w:r>
      <w:r>
        <w:rPr>
          <w:sz w:val="15"/>
        </w:rPr>
        <w:t>II</w:t>
      </w:r>
      <w:r>
        <w:rPr>
          <w:spacing w:val="2"/>
          <w:sz w:val="15"/>
        </w:rPr>
        <w:t> </w:t>
      </w:r>
      <w:r>
        <w:rPr>
          <w:sz w:val="15"/>
        </w:rPr>
        <w:t>,Serum</w:t>
      </w:r>
      <w:r>
        <w:rPr>
          <w:rFonts w:ascii="Times New Roman"/>
          <w:sz w:val="15"/>
        </w:rPr>
        <w:tab/>
      </w:r>
      <w:r>
        <w:rPr>
          <w:position w:val="1"/>
          <w:sz w:val="14"/>
        </w:rPr>
        <w:t>0.07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S/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CO</w:t>
      </w:r>
      <w:r>
        <w:rPr>
          <w:rFonts w:ascii="Times New Roman"/>
          <w:position w:val="1"/>
          <w:sz w:val="14"/>
        </w:rPr>
        <w:tab/>
      </w:r>
      <w:r>
        <w:rPr>
          <w:position w:val="1"/>
          <w:sz w:val="14"/>
        </w:rPr>
        <w:t>NEGATIVE &lt;</w:t>
      </w:r>
      <w:r>
        <w:rPr>
          <w:spacing w:val="-7"/>
          <w:position w:val="1"/>
          <w:sz w:val="14"/>
        </w:rPr>
        <w:t> </w:t>
      </w:r>
      <w:r>
        <w:rPr>
          <w:position w:val="1"/>
          <w:sz w:val="14"/>
        </w:rPr>
        <w:t>0.9</w:t>
      </w:r>
    </w:p>
    <w:p>
      <w:pPr>
        <w:spacing w:line="161" w:lineRule="exact" w:before="0"/>
        <w:ind w:left="5566" w:right="0" w:firstLine="0"/>
        <w:jc w:val="left"/>
        <w:rPr>
          <w:sz w:val="14"/>
        </w:rPr>
      </w:pPr>
      <w:r>
        <w:rPr>
          <w:sz w:val="14"/>
        </w:rPr>
        <w:t>BORDERLIN 0.9 - 1.0</w:t>
      </w:r>
    </w:p>
    <w:p>
      <w:pPr>
        <w:spacing w:line="169" w:lineRule="exact" w:before="0"/>
        <w:ind w:left="5566" w:right="0" w:firstLine="0"/>
        <w:jc w:val="left"/>
        <w:rPr>
          <w:sz w:val="14"/>
        </w:rPr>
      </w:pPr>
      <w:r>
        <w:rPr>
          <w:sz w:val="14"/>
        </w:rPr>
        <w:t>POSITIVE &gt; 1.0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/>
        <w:ind w:left="159" w:right="0" w:firstLine="0"/>
        <w:jc w:val="left"/>
        <w:rPr>
          <w:sz w:val="14"/>
        </w:rPr>
      </w:pPr>
      <w:r>
        <w:rPr>
          <w:sz w:val="14"/>
        </w:rPr>
        <w:t>ECLIA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2700" w:bottom="260" w:left="1120" w:right="1040"/>
          <w:cols w:num="2" w:equalWidth="0">
            <w:col w:w="7099" w:space="336"/>
            <w:col w:w="23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690"/>
        <w:rPr>
          <w:sz w:val="20"/>
        </w:rPr>
      </w:pPr>
      <w:r>
        <w:rPr>
          <w:sz w:val="20"/>
        </w:rPr>
        <w:drawing>
          <wp:inline distT="0" distB="0" distL="0" distR="0">
            <wp:extent cx="5523728" cy="78409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728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6"/>
        <w:ind w:left="123" w:right="0" w:firstLine="0"/>
        <w:jc w:val="left"/>
        <w:rPr>
          <w:sz w:val="12"/>
        </w:rPr>
      </w:pPr>
      <w:r>
        <w:rPr>
          <w:w w:val="105"/>
          <w:sz w:val="12"/>
        </w:rPr>
        <w:t>The tests marked with an * are not accredited by NABL.</w:t>
      </w:r>
    </w:p>
    <w:p>
      <w:pPr>
        <w:spacing w:before="8"/>
        <w:ind w:left="123" w:right="0" w:firstLine="0"/>
        <w:jc w:val="left"/>
        <w:rPr>
          <w:sz w:val="12"/>
        </w:rPr>
      </w:pPr>
      <w:r>
        <w:rPr>
          <w:w w:val="105"/>
          <w:sz w:val="12"/>
        </w:rPr>
        <w:t>** This test has been outsourced to an NABL accredited Lab.</w:t>
      </w:r>
    </w:p>
    <w:p>
      <w:pPr>
        <w:spacing w:before="7"/>
        <w:ind w:left="300" w:right="0" w:firstLine="0"/>
        <w:jc w:val="left"/>
        <w:rPr>
          <w:sz w:val="12"/>
        </w:rPr>
      </w:pPr>
      <w:r>
        <w:rPr>
          <w:w w:val="105"/>
          <w:sz w:val="12"/>
        </w:rPr>
        <w:t>Result Entered By : sandeep</w:t>
      </w:r>
    </w:p>
    <w:p>
      <w:pPr>
        <w:spacing w:before="8"/>
        <w:ind w:left="300" w:right="0" w:firstLine="0"/>
        <w:jc w:val="left"/>
        <w:rPr>
          <w:sz w:val="12"/>
        </w:rPr>
      </w:pPr>
      <w:r>
        <w:rPr>
          <w:w w:val="105"/>
          <w:sz w:val="12"/>
        </w:rPr>
        <w:t>Printed On : 10/27/2016 12:02:31 PM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700" w:bottom="260" w:left="1120" w:right="104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324"/>
        <w:gridCol w:w="2665"/>
        <w:gridCol w:w="3264"/>
      </w:tblGrid>
      <w:tr>
        <w:trPr>
          <w:trHeight w:val="217" w:hRule="atLeast"/>
        </w:trPr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rPr>
                <w:sz w:val="16"/>
              </w:rPr>
            </w:pPr>
            <w:r>
              <w:rPr>
                <w:w w:val="105"/>
                <w:sz w:val="16"/>
              </w:rPr>
              <w:t>Miss.MEGHA</w:t>
            </w:r>
          </w:p>
        </w:tc>
        <w:tc>
          <w:tcPr>
            <w:tcW w:w="2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 No</w:t>
            </w:r>
          </w:p>
        </w:tc>
        <w:tc>
          <w:tcPr>
            <w:tcW w:w="32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 w:before="21"/>
              <w:rPr>
                <w:sz w:val="16"/>
              </w:rPr>
            </w:pPr>
            <w:r>
              <w:rPr>
                <w:w w:val="105"/>
                <w:sz w:val="16"/>
              </w:rPr>
              <w:t>011610260002</w:t>
            </w:r>
          </w:p>
        </w:tc>
      </w:tr>
      <w:tr>
        <w:trPr>
          <w:trHeight w:val="200" w:hRule="atLeast"/>
        </w:trPr>
        <w:tc>
          <w:tcPr>
            <w:tcW w:w="1219" w:type="dxa"/>
          </w:tcPr>
          <w:p>
            <w:pPr>
              <w:pStyle w:val="TableParagraph"/>
              <w:spacing w:line="172" w:lineRule="exact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Age/Sex</w:t>
            </w:r>
          </w:p>
        </w:tc>
        <w:tc>
          <w:tcPr>
            <w:tcW w:w="2324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105"/>
                <w:sz w:val="16"/>
              </w:rPr>
              <w:t>30 YRS/FEMALE</w:t>
            </w:r>
          </w:p>
        </w:tc>
        <w:tc>
          <w:tcPr>
            <w:tcW w:w="2665" w:type="dxa"/>
          </w:tcPr>
          <w:p>
            <w:pPr>
              <w:pStyle w:val="TableParagraph"/>
              <w:spacing w:line="172" w:lineRule="exact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</w:t>
            </w:r>
          </w:p>
        </w:tc>
        <w:tc>
          <w:tcPr>
            <w:tcW w:w="3264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105"/>
                <w:sz w:val="16"/>
              </w:rPr>
              <w:t>26/Oct/2016 07:22AM</w:t>
            </w:r>
          </w:p>
        </w:tc>
      </w:tr>
      <w:tr>
        <w:trPr>
          <w:trHeight w:val="207" w:hRule="atLeast"/>
        </w:trPr>
        <w:tc>
          <w:tcPr>
            <w:tcW w:w="1219" w:type="dxa"/>
          </w:tcPr>
          <w:p>
            <w:pPr>
              <w:pStyle w:val="TableParagraph"/>
              <w:spacing w:line="176" w:lineRule="exact" w:before="11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UID No</w:t>
            </w:r>
          </w:p>
        </w:tc>
        <w:tc>
          <w:tcPr>
            <w:tcW w:w="2324" w:type="dxa"/>
          </w:tcPr>
          <w:p>
            <w:pPr>
              <w:pStyle w:val="TableParagraph"/>
              <w:spacing w:line="183" w:lineRule="exact" w:before="4"/>
              <w:rPr>
                <w:sz w:val="16"/>
              </w:rPr>
            </w:pPr>
            <w:r>
              <w:rPr>
                <w:w w:val="105"/>
                <w:sz w:val="16"/>
              </w:rPr>
              <w:t>154343</w:t>
            </w:r>
          </w:p>
        </w:tc>
        <w:tc>
          <w:tcPr>
            <w:tcW w:w="2665" w:type="dxa"/>
          </w:tcPr>
          <w:p>
            <w:pPr>
              <w:pStyle w:val="TableParagraph"/>
              <w:spacing w:line="183" w:lineRule="exact" w:before="4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Sample Collection</w:t>
            </w:r>
          </w:p>
        </w:tc>
        <w:tc>
          <w:tcPr>
            <w:tcW w:w="3264" w:type="dxa"/>
          </w:tcPr>
          <w:p>
            <w:pPr>
              <w:pStyle w:val="TableParagraph"/>
              <w:spacing w:line="183" w:lineRule="exact" w:before="4"/>
              <w:rPr>
                <w:sz w:val="16"/>
              </w:rPr>
            </w:pPr>
            <w:r>
              <w:rPr>
                <w:w w:val="105"/>
                <w:sz w:val="16"/>
              </w:rPr>
              <w:t>26/Oct/2016 07:25AM</w:t>
            </w:r>
          </w:p>
        </w:tc>
      </w:tr>
      <w:tr>
        <w:trPr>
          <w:trHeight w:val="250" w:hRule="atLeast"/>
        </w:trPr>
        <w:tc>
          <w:tcPr>
            <w:tcW w:w="12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BarcodeNo</w:t>
            </w:r>
          </w:p>
        </w:tc>
        <w:tc>
          <w:tcPr>
            <w:tcW w:w="23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10070977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Reported On</w:t>
            </w:r>
          </w:p>
        </w:tc>
        <w:tc>
          <w:tcPr>
            <w:tcW w:w="32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26/Oct/2016 01:10PM</w:t>
            </w:r>
          </w:p>
        </w:tc>
      </w:tr>
    </w:tbl>
    <w:p>
      <w:pPr>
        <w:pStyle w:val="BodyText"/>
        <w:spacing w:before="8"/>
        <w:rPr>
          <w:sz w:val="9"/>
        </w:rPr>
      </w:pPr>
    </w:p>
    <w:p>
      <w:pPr>
        <w:pStyle w:val="Heading2"/>
        <w:spacing w:before="101"/>
      </w:pPr>
      <w:r>
        <w:rPr/>
        <w:t>IMMUNOLOGY</w:t>
      </w:r>
    </w:p>
    <w:p>
      <w:pPr>
        <w:pStyle w:val="BodyText"/>
        <w:spacing w:before="8"/>
        <w:rPr>
          <w:b/>
          <w:sz w:val="14"/>
        </w:rPr>
      </w:pPr>
    </w:p>
    <w:p>
      <w:pPr>
        <w:tabs>
          <w:tab w:pos="3372" w:val="left" w:leader="none"/>
          <w:tab w:pos="4558" w:val="left" w:leader="none"/>
          <w:tab w:pos="5566" w:val="left" w:leader="none"/>
          <w:tab w:pos="7594" w:val="left" w:leader="none"/>
        </w:tabs>
        <w:spacing w:before="0"/>
        <w:ind w:left="159" w:right="0" w:firstLine="0"/>
        <w:jc w:val="left"/>
        <w:rPr>
          <w:b/>
          <w:sz w:val="14"/>
        </w:rPr>
      </w:pPr>
      <w:r>
        <w:rPr>
          <w:b/>
          <w:sz w:val="14"/>
        </w:rPr>
        <w:t>Test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Name</w:t>
      </w:r>
      <w:r>
        <w:rPr>
          <w:rFonts w:ascii="Times New Roman"/>
          <w:sz w:val="14"/>
        </w:rPr>
        <w:tab/>
      </w:r>
      <w:r>
        <w:rPr>
          <w:b/>
          <w:sz w:val="14"/>
        </w:rPr>
        <w:t>Result</w:t>
      </w:r>
      <w:r>
        <w:rPr>
          <w:rFonts w:ascii="Times New Roman"/>
          <w:sz w:val="14"/>
        </w:rPr>
        <w:tab/>
      </w:r>
      <w:r>
        <w:rPr>
          <w:b/>
          <w:sz w:val="14"/>
        </w:rPr>
        <w:t>Unit</w:t>
      </w:r>
      <w:r>
        <w:rPr>
          <w:rFonts w:ascii="Times New Roman"/>
          <w:sz w:val="14"/>
        </w:rPr>
        <w:tab/>
      </w:r>
      <w:r>
        <w:rPr>
          <w:b/>
          <w:sz w:val="14"/>
        </w:rPr>
        <w:t>Ref.Interval</w:t>
      </w:r>
      <w:r>
        <w:rPr>
          <w:rFonts w:ascii="Times New Roman"/>
          <w:sz w:val="14"/>
        </w:rPr>
        <w:tab/>
      </w:r>
      <w:r>
        <w:rPr>
          <w:b/>
          <w:sz w:val="14"/>
        </w:rPr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3"/>
        <w:spacing w:before="101"/>
        <w:rPr>
          <w:i/>
        </w:rPr>
      </w:pPr>
      <w:r>
        <w:rPr>
          <w:i/>
        </w:rPr>
        <w:t>Comments-</w:t>
      </w:r>
    </w:p>
    <w:p>
      <w:pPr>
        <w:pStyle w:val="BodyText"/>
        <w:spacing w:line="242" w:lineRule="auto" w:before="3"/>
        <w:ind w:left="159" w:right="189"/>
      </w:pPr>
      <w:r>
        <w:rPr/>
        <w:t>AIDS is caused by atleast two types of Human Immunodeficiency viruses designated HIV-1 and HIV- 2. Serological studies have shown that antibodies may develop to epitopes present in the peptides of the viral core and glycoprotein envelope. Whilst antibodies to HIV 1 and 2 core peptides demonstrate considerable cross reactivity, the antibodies generated by the glycoprotein envelope show less cross reactivity. This test uses 4 recombinant antigens derived from HIV-1 core (p24), HIV 1 envelope (env 10 and env 13) and HIV 2 envelope (env AI). These antigens detect antibodies to HIV 1 and to HIV 2 in  the same test. The use of these recombinant antigens improves test specificity by avoiding non specific reactions due to cross reaction with human cell proteins which are present in cell</w:t>
      </w:r>
      <w:r>
        <w:rPr>
          <w:spacing w:val="-1"/>
        </w:rPr>
        <w:t> </w:t>
      </w:r>
      <w:r>
        <w:rPr/>
        <w:t>lysates.</w:t>
      </w:r>
    </w:p>
    <w:p>
      <w:pPr>
        <w:pStyle w:val="BodyText"/>
        <w:spacing w:before="9"/>
        <w:rPr>
          <w:sz w:val="14"/>
        </w:rPr>
      </w:pPr>
    </w:p>
    <w:p>
      <w:pPr>
        <w:pStyle w:val="Heading3"/>
        <w:rPr>
          <w:i/>
        </w:rPr>
      </w:pPr>
      <w:r>
        <w:rPr>
          <w:i/>
        </w:rPr>
        <w:t>Limitations-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2" w:lineRule="auto" w:before="2" w:after="0"/>
        <w:ind w:left="159" w:right="309" w:firstLine="0"/>
        <w:jc w:val="both"/>
        <w:rPr>
          <w:rFonts w:ascii="Verdana"/>
          <w:sz w:val="15"/>
        </w:rPr>
      </w:pPr>
      <w:r>
        <w:rPr>
          <w:rFonts w:ascii="Verdana"/>
          <w:sz w:val="15"/>
        </w:rPr>
        <w:t>The result should be used and interpreted only in the context of overall clinical picture. A non-reactive test result does not exclude the possibility of exposure to or infection with HIV. Levels of HIV antibodies may be undetectable in the early stages of</w:t>
      </w:r>
      <w:r>
        <w:rPr>
          <w:rFonts w:ascii="Verdana"/>
          <w:spacing w:val="-2"/>
          <w:sz w:val="15"/>
        </w:rPr>
        <w:t> </w:t>
      </w:r>
      <w:r>
        <w:rPr>
          <w:rFonts w:ascii="Verdana"/>
          <w:sz w:val="15"/>
        </w:rPr>
        <w:t>infection.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180" w:lineRule="exact" w:before="0" w:after="0"/>
        <w:ind w:left="365" w:right="0" w:hanging="207"/>
        <w:jc w:val="both"/>
        <w:rPr>
          <w:rFonts w:ascii="Verdana"/>
          <w:sz w:val="15"/>
        </w:rPr>
      </w:pPr>
      <w:r>
        <w:rPr>
          <w:rFonts w:ascii="Verdana"/>
          <w:sz w:val="15"/>
        </w:rPr>
        <w:t>Heterophilic antibodies in serum or plasma samples may cause interference in</w:t>
      </w:r>
      <w:r>
        <w:rPr>
          <w:rFonts w:ascii="Verdana"/>
          <w:spacing w:val="1"/>
          <w:sz w:val="15"/>
        </w:rPr>
        <w:t> </w:t>
      </w:r>
      <w:r>
        <w:rPr>
          <w:rFonts w:ascii="Verdana"/>
          <w:sz w:val="15"/>
        </w:rPr>
        <w:t>immunoassays.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2" w:right="0" w:hanging="164"/>
        <w:jc w:val="left"/>
        <w:rPr>
          <w:sz w:val="13"/>
        </w:rPr>
      </w:pPr>
      <w:r>
        <w:rPr/>
        <w:t>All positive samples are tested by three different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62.156574pt,12.158183pt" to="440.861414pt,12.158183pt" stroked="true" strokeweight=".41064pt" strokecolor="#000000">
            <v:stroke dashstyle="solid"/>
            <w10:wrap type="topAndBottom"/>
          </v:line>
        </w:pict>
      </w:r>
    </w:p>
    <w:p>
      <w:pPr>
        <w:spacing w:line="146" w:lineRule="exact" w:before="0"/>
        <w:ind w:left="4207" w:right="4176" w:firstLine="0"/>
        <w:jc w:val="center"/>
        <w:rPr>
          <w:sz w:val="14"/>
        </w:rPr>
      </w:pPr>
      <w:r>
        <w:rPr>
          <w:sz w:val="14"/>
        </w:rPr>
        <w:t>***End Report***</w:t>
      </w:r>
    </w:p>
    <w:p>
      <w:pPr>
        <w:spacing w:line="168" w:lineRule="exact" w:before="0"/>
        <w:ind w:left="123" w:right="0" w:firstLine="0"/>
        <w:jc w:val="left"/>
        <w:rPr>
          <w:sz w:val="14"/>
        </w:rPr>
      </w:pPr>
      <w:r>
        <w:rPr>
          <w:sz w:val="14"/>
        </w:rPr>
        <w:t>DISCLAIMER:</w:t>
      </w: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169" w:lineRule="exact" w:before="0" w:after="0"/>
        <w:ind w:left="310" w:right="0" w:hanging="188"/>
        <w:jc w:val="left"/>
        <w:rPr>
          <w:rFonts w:ascii="Verdana"/>
          <w:sz w:val="14"/>
        </w:rPr>
      </w:pPr>
      <w:r>
        <w:rPr>
          <w:rFonts w:ascii="Verdana"/>
          <w:sz w:val="14"/>
        </w:rPr>
        <w:t>This is a professional opinion only; clinical co-relation is a must for final</w:t>
      </w:r>
      <w:r>
        <w:rPr>
          <w:rFonts w:ascii="Verdana"/>
          <w:spacing w:val="-31"/>
          <w:sz w:val="14"/>
        </w:rPr>
        <w:t> </w:t>
      </w:r>
      <w:r>
        <w:rPr>
          <w:rFonts w:ascii="Verdana"/>
          <w:sz w:val="14"/>
        </w:rPr>
        <w:t>diagnosis.</w:t>
      </w: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169" w:lineRule="exact" w:before="0" w:after="0"/>
        <w:ind w:left="310" w:right="0" w:hanging="188"/>
        <w:jc w:val="left"/>
        <w:rPr>
          <w:rFonts w:ascii="Verdana"/>
          <w:sz w:val="14"/>
        </w:rPr>
      </w:pPr>
      <w:r>
        <w:rPr>
          <w:rFonts w:ascii="Verdana"/>
          <w:sz w:val="14"/>
        </w:rPr>
        <w:t>Any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discrepancy</w:t>
      </w:r>
      <w:r>
        <w:rPr>
          <w:rFonts w:ascii="Verdana"/>
          <w:spacing w:val="-1"/>
          <w:sz w:val="14"/>
        </w:rPr>
        <w:t> </w:t>
      </w:r>
      <w:r>
        <w:rPr>
          <w:rFonts w:ascii="Verdana"/>
          <w:sz w:val="14"/>
        </w:rPr>
        <w:t>/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transcription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sz w:val="14"/>
        </w:rPr>
        <w:t>error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sz w:val="14"/>
        </w:rPr>
        <w:t>in</w:t>
      </w:r>
      <w:r>
        <w:rPr>
          <w:rFonts w:ascii="Verdana"/>
          <w:spacing w:val="-5"/>
          <w:sz w:val="14"/>
        </w:rPr>
        <w:t> </w:t>
      </w:r>
      <w:r>
        <w:rPr>
          <w:rFonts w:ascii="Verdana"/>
          <w:sz w:val="14"/>
        </w:rPr>
        <w:t>the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report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sz w:val="14"/>
        </w:rPr>
        <w:t>should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be</w:t>
      </w:r>
      <w:r>
        <w:rPr>
          <w:rFonts w:ascii="Verdana"/>
          <w:spacing w:val="-1"/>
          <w:sz w:val="14"/>
        </w:rPr>
        <w:t> </w:t>
      </w:r>
      <w:r>
        <w:rPr>
          <w:rFonts w:ascii="Verdana"/>
          <w:sz w:val="14"/>
        </w:rPr>
        <w:t>clarified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with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sz w:val="14"/>
        </w:rPr>
        <w:t>the</w:t>
      </w:r>
      <w:r>
        <w:rPr>
          <w:rFonts w:ascii="Verdana"/>
          <w:spacing w:val="-1"/>
          <w:sz w:val="14"/>
        </w:rPr>
        <w:t> </w:t>
      </w:r>
      <w:r>
        <w:rPr>
          <w:rFonts w:ascii="Verdana"/>
          <w:sz w:val="14"/>
        </w:rPr>
        <w:t>lab</w:t>
      </w:r>
      <w:r>
        <w:rPr>
          <w:rFonts w:ascii="Verdana"/>
          <w:spacing w:val="-4"/>
          <w:sz w:val="14"/>
        </w:rPr>
        <w:t> </w:t>
      </w:r>
      <w:r>
        <w:rPr>
          <w:rFonts w:ascii="Verdana"/>
          <w:sz w:val="14"/>
        </w:rPr>
        <w:t>at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sz w:val="14"/>
        </w:rPr>
        <w:t>the</w:t>
      </w:r>
      <w:r>
        <w:rPr>
          <w:rFonts w:ascii="Verdana"/>
          <w:spacing w:val="-1"/>
          <w:sz w:val="14"/>
        </w:rPr>
        <w:t> </w:t>
      </w:r>
      <w:r>
        <w:rPr>
          <w:rFonts w:ascii="Verdana"/>
          <w:sz w:val="14"/>
        </w:rPr>
        <w:t>earliest.</w:t>
      </w: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169" w:lineRule="exact" w:before="0" w:after="0"/>
        <w:ind w:left="310" w:right="0" w:hanging="188"/>
        <w:jc w:val="left"/>
        <w:rPr>
          <w:rFonts w:ascii="Verdana"/>
          <w:sz w:val="14"/>
        </w:rPr>
      </w:pPr>
      <w:r>
        <w:rPr>
          <w:rFonts w:ascii="Verdana"/>
          <w:sz w:val="14"/>
        </w:rPr>
        <w:t>All reports are for perusal of doctors only and are not valid for medico-legal</w:t>
      </w:r>
      <w:r>
        <w:rPr>
          <w:rFonts w:ascii="Verdana"/>
          <w:spacing w:val="-29"/>
          <w:sz w:val="14"/>
        </w:rPr>
        <w:t> </w:t>
      </w:r>
      <w:r>
        <w:rPr>
          <w:rFonts w:ascii="Verdana"/>
          <w:sz w:val="14"/>
        </w:rPr>
        <w:t>cases.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1149477</wp:posOffset>
            </wp:positionH>
            <wp:positionV relativeFrom="paragraph">
              <wp:posOffset>230635</wp:posOffset>
            </wp:positionV>
            <wp:extent cx="5523728" cy="784098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728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/>
        <w:ind w:left="123" w:right="0" w:firstLine="0"/>
        <w:jc w:val="left"/>
        <w:rPr>
          <w:sz w:val="12"/>
        </w:rPr>
      </w:pPr>
      <w:r>
        <w:rPr>
          <w:w w:val="105"/>
          <w:sz w:val="12"/>
        </w:rPr>
        <w:t>The tests marked with an * are not accredited by NABL.</w:t>
      </w:r>
    </w:p>
    <w:p>
      <w:pPr>
        <w:spacing w:before="8"/>
        <w:ind w:left="123" w:right="0" w:firstLine="0"/>
        <w:jc w:val="left"/>
        <w:rPr>
          <w:sz w:val="12"/>
        </w:rPr>
      </w:pPr>
      <w:r>
        <w:rPr>
          <w:w w:val="105"/>
          <w:sz w:val="12"/>
        </w:rPr>
        <w:t>** This test has been outsourced to an NABL accredited Lab.</w:t>
      </w:r>
    </w:p>
    <w:p>
      <w:pPr>
        <w:spacing w:before="8"/>
        <w:ind w:left="300" w:right="0" w:firstLine="0"/>
        <w:jc w:val="left"/>
        <w:rPr>
          <w:sz w:val="12"/>
        </w:rPr>
      </w:pPr>
      <w:r>
        <w:rPr>
          <w:w w:val="105"/>
          <w:sz w:val="12"/>
        </w:rPr>
        <w:t>Result Entered By : sandeep</w:t>
      </w:r>
    </w:p>
    <w:p>
      <w:pPr>
        <w:spacing w:before="10"/>
        <w:ind w:left="300" w:right="0" w:firstLine="0"/>
        <w:jc w:val="left"/>
        <w:rPr>
          <w:sz w:val="12"/>
        </w:rPr>
      </w:pPr>
      <w:r>
        <w:rPr>
          <w:w w:val="105"/>
          <w:sz w:val="12"/>
        </w:rPr>
        <w:t>Printed On : 10/27/2016 12:02:31 PM</w:t>
      </w:r>
    </w:p>
    <w:sectPr>
      <w:pgSz w:w="11900" w:h="16840"/>
      <w:pgMar w:header="0" w:footer="71" w:top="2700" w:bottom="260" w:left="11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99977pt;margin-top:827.466492pt;width:488.6pt;height:15.3pt;mso-position-horizontal-relative:page;mso-position-vertical-relative:page;z-index:-251960320" type="#_x0000_t202" filled="false" stroked="false">
          <v:textbox inset="0,0,0,0">
            <w:txbxContent>
              <w:p>
                <w:pPr>
                  <w:tabs>
                    <w:tab w:pos="8659" w:val="left" w:leader="none"/>
                  </w:tabs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sz w:val="24"/>
                    </w:rPr>
                    <w:t>http://localhost/dodas/Design/Lab/printlabreport.aspx?isOnlinePrint=1&amp;TestID=LSH...</w:t>
                  </w:r>
                </w:hyperlink>
                <w:r>
                  <w:rPr>
                    <w:rFonts w:ascii="Times New Roman"/>
                    <w:sz w:val="24"/>
                  </w:rPr>
                  <w:tab/>
                  <w:t>10/27/2016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54112">
          <wp:simplePos x="0" y="0"/>
          <wp:positionH relativeFrom="page">
            <wp:posOffset>5678423</wp:posOffset>
          </wp:positionH>
          <wp:positionV relativeFrom="page">
            <wp:posOffset>1481322</wp:posOffset>
          </wp:positionV>
          <wp:extent cx="1071372" cy="24079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372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359802pt;margin-top:-1.253022pt;width:56.25pt;height:15.3pt;mso-position-horizontal-relative:page;mso-position-vertical-relative:page;z-index:-251961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 of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0" w:hanging="188"/>
        <w:jc w:val="left"/>
      </w:pPr>
      <w:rPr>
        <w:rFonts w:hint="default" w:ascii="Verdana" w:hAnsi="Verdana" w:eastAsia="Verdana" w:cs="Verdana"/>
        <w:spacing w:val="-3"/>
        <w:w w:val="99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62" w:hanging="1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04" w:hanging="1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6" w:hanging="1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88" w:hanging="1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30" w:hanging="1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72" w:hanging="1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14" w:hanging="1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56" w:hanging="18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9" w:hanging="207"/>
        <w:jc w:val="left"/>
      </w:pPr>
      <w:rPr>
        <w:rFonts w:hint="default"/>
        <w:spacing w:val="-1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8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76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34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2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5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08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66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24" w:hanging="20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2" w:hanging="116"/>
        <w:jc w:val="right"/>
      </w:pPr>
      <w:rPr>
        <w:rFonts w:hint="default" w:ascii="Calibri" w:hAnsi="Calibri" w:eastAsia="Calibri" w:cs="Calibri"/>
        <w:spacing w:val="-7"/>
        <w:w w:val="100"/>
        <w:sz w:val="13"/>
        <w:szCs w:val="13"/>
        <w:lang w:val="en-US" w:eastAsia="en-US" w:bidi="en-US"/>
      </w:rPr>
    </w:lvl>
    <w:lvl w:ilvl="1">
      <w:start w:val="2"/>
      <w:numFmt w:val="decimal"/>
      <w:lvlText w:val="%2"/>
      <w:lvlJc w:val="left"/>
      <w:pPr>
        <w:ind w:left="1496" w:hanging="111"/>
        <w:jc w:val="left"/>
      </w:pPr>
      <w:rPr>
        <w:rFonts w:hint="default" w:ascii="Calibri" w:hAnsi="Calibri" w:eastAsia="Calibri" w:cs="Calibri"/>
        <w:w w:val="100"/>
        <w:sz w:val="15"/>
        <w:szCs w:val="15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5" w:hanging="11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31" w:hanging="11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46" w:hanging="11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2" w:hanging="11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77" w:hanging="11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93" w:hanging="11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08" w:hanging="11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6"/>
      <w:ind w:left="159" w:right="149"/>
      <w:jc w:val="both"/>
      <w:outlineLvl w:val="1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4206" w:right="4176"/>
      <w:jc w:val="center"/>
      <w:outlineLvl w:val="2"/>
    </w:pPr>
    <w:rPr>
      <w:rFonts w:ascii="Verdana" w:hAnsi="Verdana" w:eastAsia="Verdana" w:cs="Verdana"/>
      <w:b/>
      <w:bCs/>
      <w:sz w:val="15"/>
      <w:szCs w:val="15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left="159"/>
      <w:outlineLvl w:val="3"/>
    </w:pPr>
    <w:rPr>
      <w:rFonts w:ascii="Verdana" w:hAnsi="Verdana" w:eastAsia="Verdana" w:cs="Verdana"/>
      <w:b/>
      <w:bCs/>
      <w:i/>
      <w:sz w:val="15"/>
      <w:szCs w:val="15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310" w:hanging="188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"/>
      <w:ind w:left="91"/>
    </w:pPr>
    <w:rPr>
      <w:rFonts w:ascii="Verdana" w:hAnsi="Verdana" w:eastAsia="Verdana" w:cs="Verdan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ocalhost/dodas/Design/Lab/printlabreport.aspx?isOnlinePrint=1&amp;amp;TestID=LSH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LabReport</dc:title>
  <dcterms:created xsi:type="dcterms:W3CDTF">2020-10-25T06:01:08Z</dcterms:created>
  <dcterms:modified xsi:type="dcterms:W3CDTF">2020-10-25T06:01:08Z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2020-10-25T00:00:00Z</vt:filetime>
  </property>
</Properties>
</file>